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B1E7956" w14:textId="77777777" w:rsidR="001A05E4" w:rsidRPr="001A05E4" w:rsidRDefault="001A05E4" w:rsidP="001A05E4">
      <w:pPr>
        <w:spacing w:line="500" w:lineRule="exact"/>
        <w:jc w:val="center"/>
        <w:rPr>
          <w:rFonts w:ascii="微軟正黑體" w:eastAsia="微軟正黑體" w:hAnsi="微軟正黑體"/>
          <w:sz w:val="28"/>
          <w:szCs w:val="24"/>
        </w:rPr>
      </w:pPr>
      <w:r w:rsidRPr="001A05E4">
        <w:rPr>
          <w:rFonts w:ascii="微軟正黑體" w:eastAsia="微軟正黑體" w:hAnsi="微軟正黑體"/>
          <w:b/>
          <w:bCs/>
          <w:sz w:val="28"/>
          <w:szCs w:val="24"/>
        </w:rPr>
        <w:t>「當符號成為一種擬態：盧明德與其生態樂園」新聞稿</w:t>
      </w:r>
    </w:p>
    <w:p w14:paraId="01227AD4" w14:textId="674E47B6" w:rsidR="00751DAF" w:rsidRPr="00E819CE" w:rsidRDefault="00E819CE" w:rsidP="00E819CE">
      <w:pPr>
        <w:spacing w:after="100" w:afterAutospacing="1" w:line="500" w:lineRule="exact"/>
        <w:jc w:val="center"/>
        <w:rPr>
          <w:rFonts w:ascii="微軟正黑體" w:eastAsia="微軟正黑體" w:hAnsi="微軟正黑體" w:hint="eastAsia"/>
          <w:sz w:val="28"/>
          <w:szCs w:val="24"/>
        </w:rPr>
      </w:pPr>
      <w:r>
        <w:rPr>
          <w:rFonts w:ascii="微軟正黑體" w:eastAsia="微軟正黑體" w:hAnsi="微軟正黑體"/>
          <w:noProof/>
        </w:rPr>
        <w:drawing>
          <wp:anchor distT="0" distB="0" distL="114300" distR="114300" simplePos="0" relativeHeight="251676672" behindDoc="0" locked="0" layoutInCell="1" allowOverlap="1" wp14:anchorId="715B99BC" wp14:editId="17020097">
            <wp:simplePos x="0" y="0"/>
            <wp:positionH relativeFrom="column">
              <wp:posOffset>426720</wp:posOffset>
            </wp:positionH>
            <wp:positionV relativeFrom="paragraph">
              <wp:posOffset>404495</wp:posOffset>
            </wp:positionV>
            <wp:extent cx="4259580" cy="2193894"/>
            <wp:effectExtent l="0" t="0" r="7620" b="0"/>
            <wp:wrapTopAndBottom/>
            <wp:docPr id="1939026789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9026789" name="圖片 1939026789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9580" cy="2193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A05E4" w:rsidRPr="001A05E4">
        <w:rPr>
          <w:rFonts w:ascii="微軟正黑體" w:eastAsia="微軟正黑體" w:hAnsi="微軟正黑體"/>
          <w:b/>
          <w:bCs/>
          <w:sz w:val="28"/>
          <w:szCs w:val="24"/>
        </w:rPr>
        <w:t>無垠遷徙的文化方舟，虛實交錯的生態樂園</w:t>
      </w:r>
    </w:p>
    <w:p w14:paraId="6E9FA84F" w14:textId="77777777" w:rsidR="00E819CE" w:rsidRDefault="00E819CE" w:rsidP="001A05E4">
      <w:pPr>
        <w:spacing w:line="500" w:lineRule="exact"/>
        <w:rPr>
          <w:rFonts w:ascii="微軟正黑體" w:eastAsia="微軟正黑體" w:hAnsi="微軟正黑體"/>
        </w:rPr>
      </w:pPr>
    </w:p>
    <w:p w14:paraId="450D93AD" w14:textId="07B242C9" w:rsidR="001A05E4" w:rsidRDefault="00E819CE" w:rsidP="001A05E4">
      <w:pPr>
        <w:spacing w:line="500" w:lineRule="exact"/>
        <w:rPr>
          <w:rFonts w:ascii="微軟正黑體" w:eastAsia="微軟正黑體" w:hAnsi="微軟正黑體"/>
        </w:rPr>
      </w:pPr>
      <w:r>
        <w:rPr>
          <w:noProof/>
          <w:bdr w:val="none" w:sz="0" w:space="0" w:color="auto" w:frame="1"/>
        </w:rPr>
        <w:drawing>
          <wp:anchor distT="0" distB="0" distL="114300" distR="114300" simplePos="0" relativeHeight="251658240" behindDoc="0" locked="0" layoutInCell="1" allowOverlap="1" wp14:anchorId="52B117E4" wp14:editId="18A32C31">
            <wp:simplePos x="0" y="0"/>
            <wp:positionH relativeFrom="column">
              <wp:posOffset>2567940</wp:posOffset>
            </wp:positionH>
            <wp:positionV relativeFrom="paragraph">
              <wp:posOffset>1734820</wp:posOffset>
            </wp:positionV>
            <wp:extent cx="2926080" cy="1645920"/>
            <wp:effectExtent l="0" t="0" r="7620" b="0"/>
            <wp:wrapTopAndBottom/>
            <wp:docPr id="1286709791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164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bdr w:val="none" w:sz="0" w:space="0" w:color="auto" w:frame="1"/>
        </w:rPr>
        <w:drawing>
          <wp:anchor distT="0" distB="0" distL="114300" distR="114300" simplePos="0" relativeHeight="251659264" behindDoc="0" locked="0" layoutInCell="1" allowOverlap="1" wp14:anchorId="1A892991" wp14:editId="4333A20D">
            <wp:simplePos x="0" y="0"/>
            <wp:positionH relativeFrom="column">
              <wp:posOffset>-365760</wp:posOffset>
            </wp:positionH>
            <wp:positionV relativeFrom="paragraph">
              <wp:posOffset>1730375</wp:posOffset>
            </wp:positionV>
            <wp:extent cx="2933700" cy="1645920"/>
            <wp:effectExtent l="0" t="0" r="0" b="0"/>
            <wp:wrapTopAndBottom/>
            <wp:docPr id="515088327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164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A05E4" w:rsidRPr="001A05E4">
        <w:rPr>
          <w:rFonts w:ascii="微軟正黑體" w:eastAsia="微軟正黑體" w:hAnsi="微軟正黑體"/>
        </w:rPr>
        <w:t>「當符號成為一種擬態：盧明德與其生態樂園」於毓繡美術館2024年下半年度開展，藝術家盧明德展出不同創作時期作品，包含平面繪畫、複合媒材、空間裝置、現地創作《四重奏》、擺放在戶外草皮及水池的《文化擬態動物》系列以及一顆巨大的《迷走之蛋》，讓觀眾在人造物的虛構與自然環境的真實之間遊走，整座美術館成為一座生態樂園。</w:t>
      </w:r>
    </w:p>
    <w:p w14:paraId="1B8CA638" w14:textId="3CDA3027" w:rsidR="001A05E4" w:rsidRPr="001A05E4" w:rsidRDefault="001A05E4" w:rsidP="00A01DDB">
      <w:pPr>
        <w:spacing w:after="100" w:afterAutospacing="1"/>
        <w:rPr>
          <w:rFonts w:ascii="微軟正黑體" w:eastAsia="微軟正黑體" w:hAnsi="微軟正黑體"/>
          <w:color w:val="808080" w:themeColor="background1" w:themeShade="80"/>
          <w:sz w:val="20"/>
          <w:szCs w:val="18"/>
        </w:rPr>
      </w:pPr>
      <w:r w:rsidRPr="001A05E4">
        <w:rPr>
          <w:rFonts w:ascii="微軟正黑體" w:eastAsia="微軟正黑體" w:hAnsi="微軟正黑體"/>
          <w:color w:val="808080" w:themeColor="background1" w:themeShade="80"/>
          <w:sz w:val="20"/>
          <w:szCs w:val="18"/>
        </w:rPr>
        <w:t>（圖一）草皮上的作品《迷走之蛋》、（圖二）水池旁的作品《文化擬態動物》</w:t>
      </w:r>
    </w:p>
    <w:p w14:paraId="14F7597D" w14:textId="78C33F7E" w:rsidR="001A05E4" w:rsidRDefault="001A05E4" w:rsidP="001A05E4">
      <w:pPr>
        <w:spacing w:line="500" w:lineRule="exact"/>
        <w:rPr>
          <w:rFonts w:ascii="微軟正黑體" w:eastAsia="微軟正黑體" w:hAnsi="微軟正黑體"/>
        </w:rPr>
      </w:pPr>
      <w:r w:rsidRPr="001A05E4">
        <w:rPr>
          <w:rFonts w:ascii="微軟正黑體" w:eastAsia="微軟正黑體" w:hAnsi="微軟正黑體"/>
        </w:rPr>
        <w:t>藝術家盧明德是台灣新媒體藝術和跨領域創作的主力推手，1950年出生於高雄，從事藝術創作超過半世紀，自</w:t>
      </w:r>
      <w:proofErr w:type="gramStart"/>
      <w:r w:rsidRPr="001A05E4">
        <w:rPr>
          <w:rFonts w:ascii="微軟正黑體" w:eastAsia="微軟正黑體" w:hAnsi="微軟正黑體"/>
        </w:rPr>
        <w:t>1980</w:t>
      </w:r>
      <w:proofErr w:type="gramEnd"/>
      <w:r w:rsidRPr="001A05E4">
        <w:rPr>
          <w:rFonts w:ascii="微軟正黑體" w:eastAsia="微軟正黑體" w:hAnsi="微軟正黑體"/>
        </w:rPr>
        <w:t>年代初期，於日本筑波大學求學</w:t>
      </w:r>
      <w:proofErr w:type="gramStart"/>
      <w:r w:rsidRPr="001A05E4">
        <w:rPr>
          <w:rFonts w:ascii="微軟正黑體" w:eastAsia="微軟正黑體" w:hAnsi="微軟正黑體"/>
        </w:rPr>
        <w:t>期間，</w:t>
      </w:r>
      <w:proofErr w:type="gramEnd"/>
      <w:r w:rsidRPr="001A05E4">
        <w:rPr>
          <w:rFonts w:ascii="微軟正黑體" w:eastAsia="微軟正黑體" w:hAnsi="微軟正黑體"/>
        </w:rPr>
        <w:t>開啟了關於不同媒材、跨領域藝術的探討，作品中常見現成物、拼貼、繪畫、書寫同時呈現，形式從平面轉為裝置。盧明德認為藝術是探討自然與真實之間的距離，模擬自然的偽自然即是「擬態」，他於2011年遷居高雄美濃後更關注「生態」議題，作品中跨物種、跨時空的實驗是他對自然的詮釋與回應。</w:t>
      </w:r>
    </w:p>
    <w:p w14:paraId="48374FBE" w14:textId="77777777" w:rsidR="00E819CE" w:rsidRDefault="00E819CE" w:rsidP="001A05E4">
      <w:pPr>
        <w:spacing w:line="500" w:lineRule="exact"/>
        <w:rPr>
          <w:rFonts w:ascii="微軟正黑體" w:eastAsia="微軟正黑體" w:hAnsi="微軟正黑體"/>
        </w:rPr>
      </w:pPr>
    </w:p>
    <w:p w14:paraId="51FFA689" w14:textId="4885987A" w:rsidR="00A01DDB" w:rsidRDefault="00A01DDB" w:rsidP="001A05E4">
      <w:pPr>
        <w:spacing w:line="500" w:lineRule="exact"/>
        <w:rPr>
          <w:rFonts w:ascii="微軟正黑體" w:eastAsia="微軟正黑體" w:hAnsi="微軟正黑體"/>
        </w:rPr>
      </w:pPr>
      <w:r>
        <w:rPr>
          <w:noProof/>
          <w:bdr w:val="none" w:sz="0" w:space="0" w:color="auto" w:frame="1"/>
        </w:rPr>
        <w:drawing>
          <wp:anchor distT="0" distB="0" distL="114300" distR="114300" simplePos="0" relativeHeight="251661312" behindDoc="0" locked="0" layoutInCell="1" allowOverlap="1" wp14:anchorId="7D1A9EDD" wp14:editId="3DF6D046">
            <wp:simplePos x="0" y="0"/>
            <wp:positionH relativeFrom="column">
              <wp:posOffset>2788920</wp:posOffset>
            </wp:positionH>
            <wp:positionV relativeFrom="paragraph">
              <wp:posOffset>1341120</wp:posOffset>
            </wp:positionV>
            <wp:extent cx="2948940" cy="1668780"/>
            <wp:effectExtent l="0" t="0" r="3810" b="7620"/>
            <wp:wrapTopAndBottom/>
            <wp:docPr id="1631863527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940" cy="166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bdr w:val="none" w:sz="0" w:space="0" w:color="auto" w:frame="1"/>
        </w:rPr>
        <w:drawing>
          <wp:anchor distT="0" distB="0" distL="114300" distR="114300" simplePos="0" relativeHeight="251660288" behindDoc="0" locked="0" layoutInCell="1" allowOverlap="1" wp14:anchorId="32D2FA6F" wp14:editId="04975DD1">
            <wp:simplePos x="0" y="0"/>
            <wp:positionH relativeFrom="column">
              <wp:posOffset>-190500</wp:posOffset>
            </wp:positionH>
            <wp:positionV relativeFrom="paragraph">
              <wp:posOffset>1341120</wp:posOffset>
            </wp:positionV>
            <wp:extent cx="2979420" cy="1676400"/>
            <wp:effectExtent l="0" t="0" r="0" b="0"/>
            <wp:wrapTopAndBottom/>
            <wp:docPr id="1862713669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942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01DDB">
        <w:rPr>
          <w:rFonts w:ascii="微軟正黑體" w:eastAsia="微軟正黑體" w:hAnsi="微軟正黑體"/>
        </w:rPr>
        <w:t>此展策展人陳明惠說，觀眾抵達美術館園區後，首先會注意到草皮上有一顆巨大的《迷走之蛋》，再來會察覺有一些《文化擬態動物》棲息在水池旁，人造的「假生態」與真實的自然場域融合為一，引導觀眾思考人類是否失去了對生態觀察的敏銳性，並好奇如果模擬的真實回歸自然，會發生什麼變化?</w:t>
      </w:r>
    </w:p>
    <w:p w14:paraId="711A2E45" w14:textId="71CDBDA9" w:rsidR="00A01DDB" w:rsidRDefault="00A01DDB" w:rsidP="00A01DDB">
      <w:pPr>
        <w:spacing w:after="100" w:afterAutospacing="1"/>
        <w:rPr>
          <w:rFonts w:ascii="微軟正黑體" w:eastAsia="微軟正黑體" w:hAnsi="微軟正黑體"/>
          <w:color w:val="808080" w:themeColor="background1" w:themeShade="80"/>
          <w:sz w:val="20"/>
          <w:szCs w:val="18"/>
        </w:rPr>
      </w:pPr>
      <w:r w:rsidRPr="00A01DDB">
        <w:rPr>
          <w:rFonts w:ascii="微軟正黑體" w:eastAsia="微軟正黑體" w:hAnsi="微軟正黑體"/>
          <w:color w:val="808080" w:themeColor="background1" w:themeShade="80"/>
          <w:sz w:val="20"/>
          <w:szCs w:val="18"/>
        </w:rPr>
        <w:t>（圖三）、（圖四）藝術家盧明德與策展人陳明惠</w:t>
      </w:r>
    </w:p>
    <w:p w14:paraId="6114F135" w14:textId="60903304" w:rsidR="00A01DDB" w:rsidRDefault="00E819CE" w:rsidP="00A01DDB">
      <w:pPr>
        <w:spacing w:line="500" w:lineRule="exact"/>
        <w:rPr>
          <w:rFonts w:ascii="微軟正黑體" w:eastAsia="微軟正黑體" w:hAnsi="微軟正黑體"/>
        </w:rPr>
      </w:pPr>
      <w:r>
        <w:rPr>
          <w:noProof/>
          <w:bdr w:val="none" w:sz="0" w:space="0" w:color="auto" w:frame="1"/>
        </w:rPr>
        <w:drawing>
          <wp:anchor distT="0" distB="0" distL="114300" distR="114300" simplePos="0" relativeHeight="251663360" behindDoc="0" locked="0" layoutInCell="1" allowOverlap="1" wp14:anchorId="537D4FA5" wp14:editId="654AB678">
            <wp:simplePos x="0" y="0"/>
            <wp:positionH relativeFrom="column">
              <wp:posOffset>2590800</wp:posOffset>
            </wp:positionH>
            <wp:positionV relativeFrom="paragraph">
              <wp:posOffset>2367280</wp:posOffset>
            </wp:positionV>
            <wp:extent cx="2788920" cy="1569720"/>
            <wp:effectExtent l="0" t="0" r="0" b="0"/>
            <wp:wrapTopAndBottom/>
            <wp:docPr id="148567237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920" cy="156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bdr w:val="none" w:sz="0" w:space="0" w:color="auto" w:frame="1"/>
        </w:rPr>
        <w:drawing>
          <wp:anchor distT="0" distB="0" distL="114300" distR="114300" simplePos="0" relativeHeight="251662336" behindDoc="0" locked="0" layoutInCell="1" allowOverlap="1" wp14:anchorId="1DD48ADF" wp14:editId="22447131">
            <wp:simplePos x="0" y="0"/>
            <wp:positionH relativeFrom="column">
              <wp:posOffset>-198120</wp:posOffset>
            </wp:positionH>
            <wp:positionV relativeFrom="paragraph">
              <wp:posOffset>2367280</wp:posOffset>
            </wp:positionV>
            <wp:extent cx="2788920" cy="1569720"/>
            <wp:effectExtent l="0" t="0" r="0" b="0"/>
            <wp:wrapTopAndBottom/>
            <wp:docPr id="3727340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920" cy="156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01DDB" w:rsidRPr="00A01DDB">
        <w:rPr>
          <w:rFonts w:ascii="微軟正黑體" w:eastAsia="微軟正黑體" w:hAnsi="微軟正黑體"/>
        </w:rPr>
        <w:t>進入一樓展場正中央的《媒體是一切》的霓虹燈管、</w:t>
      </w:r>
      <w:proofErr w:type="gramStart"/>
      <w:r w:rsidR="00A01DDB" w:rsidRPr="00A01DDB">
        <w:rPr>
          <w:rFonts w:ascii="微軟正黑體" w:eastAsia="微軟正黑體" w:hAnsi="微軟正黑體"/>
        </w:rPr>
        <w:t>《</w:t>
      </w:r>
      <w:proofErr w:type="gramEnd"/>
      <w:r w:rsidR="00A01DDB" w:rsidRPr="00A01DDB">
        <w:rPr>
          <w:rFonts w:ascii="微軟正黑體" w:eastAsia="微軟正黑體" w:hAnsi="微軟正黑體"/>
        </w:rPr>
        <w:t>飜案屋小貨櫃》的42組乳牛及貨櫃裝置成為焦點，盧明德認為萬物皆為創作符碼，提出「媒體是一切」的概念，自此破除媒材與空間的限制；</w:t>
      </w:r>
      <w:proofErr w:type="gramStart"/>
      <w:r w:rsidR="00A01DDB" w:rsidRPr="00A01DDB">
        <w:rPr>
          <w:rFonts w:ascii="微軟正黑體" w:eastAsia="微軟正黑體" w:hAnsi="微軟正黑體"/>
        </w:rPr>
        <w:t>《</w:t>
      </w:r>
      <w:proofErr w:type="gramEnd"/>
      <w:r w:rsidR="00A01DDB" w:rsidRPr="00A01DDB">
        <w:rPr>
          <w:rFonts w:ascii="微軟正黑體" w:eastAsia="微軟正黑體" w:hAnsi="微軟正黑體"/>
        </w:rPr>
        <w:t>飜案屋》系列是盧明德近年以複製動物群像，回應現今媒體世界裡日常物件被符號化、商品化的當代現象。在這組作品旁，邁開一步即往回跨越了半世紀前的《筑波記憶I》、《筑波記憶II》，以鉛筆素描和複合</w:t>
      </w:r>
      <w:proofErr w:type="gramStart"/>
      <w:r w:rsidR="00A01DDB" w:rsidRPr="00A01DDB">
        <w:rPr>
          <w:rFonts w:ascii="微軟正黑體" w:eastAsia="微軟正黑體" w:hAnsi="微軟正黑體"/>
        </w:rPr>
        <w:t>媒材並置</w:t>
      </w:r>
      <w:proofErr w:type="gramEnd"/>
      <w:r w:rsidR="00A01DDB" w:rsidRPr="00A01DDB">
        <w:rPr>
          <w:rFonts w:ascii="微軟正黑體" w:eastAsia="微軟正黑體" w:hAnsi="微軟正黑體"/>
        </w:rPr>
        <w:t>，使觀眾產生視覺上的錯置，在兩組</w:t>
      </w:r>
      <w:proofErr w:type="gramStart"/>
      <w:r w:rsidR="00A01DDB" w:rsidRPr="00A01DDB">
        <w:rPr>
          <w:rFonts w:ascii="微軟正黑體" w:eastAsia="微軟正黑體" w:hAnsi="微軟正黑體"/>
        </w:rPr>
        <w:t>作品中媒材</w:t>
      </w:r>
      <w:proofErr w:type="gramEnd"/>
      <w:r w:rsidR="00A01DDB" w:rsidRPr="00A01DDB">
        <w:rPr>
          <w:rFonts w:ascii="微軟正黑體" w:eastAsia="微軟正黑體" w:hAnsi="微軟正黑體"/>
        </w:rPr>
        <w:t>本身所代表的時代意涵不同，解放媒體的概念卻從一而終。</w:t>
      </w:r>
    </w:p>
    <w:p w14:paraId="5899B153" w14:textId="66EB6A77" w:rsidR="00594865" w:rsidRPr="00594865" w:rsidRDefault="00594865" w:rsidP="00594865">
      <w:pPr>
        <w:spacing w:after="100" w:afterAutospacing="1"/>
        <w:rPr>
          <w:rFonts w:ascii="微軟正黑體" w:eastAsia="微軟正黑體" w:hAnsi="微軟正黑體"/>
          <w:color w:val="808080" w:themeColor="background1" w:themeShade="80"/>
          <w:sz w:val="20"/>
          <w:szCs w:val="18"/>
        </w:rPr>
      </w:pPr>
      <w:r w:rsidRPr="00594865">
        <w:rPr>
          <w:rFonts w:ascii="微軟正黑體" w:eastAsia="微軟正黑體" w:hAnsi="微軟正黑體"/>
          <w:color w:val="808080" w:themeColor="background1" w:themeShade="80"/>
          <w:sz w:val="20"/>
          <w:szCs w:val="18"/>
        </w:rPr>
        <w:t>（圖五）一樓展場照、（圖六）</w:t>
      </w:r>
      <w:proofErr w:type="gramStart"/>
      <w:r w:rsidRPr="00594865">
        <w:rPr>
          <w:rFonts w:ascii="微軟正黑體" w:eastAsia="微軟正黑體" w:hAnsi="微軟正黑體"/>
          <w:color w:val="808080" w:themeColor="background1" w:themeShade="80"/>
          <w:sz w:val="20"/>
          <w:szCs w:val="18"/>
        </w:rPr>
        <w:t>《</w:t>
      </w:r>
      <w:proofErr w:type="gramEnd"/>
      <w:r w:rsidRPr="00594865">
        <w:rPr>
          <w:rFonts w:ascii="微軟正黑體" w:eastAsia="微軟正黑體" w:hAnsi="微軟正黑體"/>
          <w:color w:val="808080" w:themeColor="background1" w:themeShade="80"/>
          <w:sz w:val="20"/>
          <w:szCs w:val="18"/>
        </w:rPr>
        <w:t>飜案屋小貨櫃》的</w:t>
      </w:r>
      <w:r w:rsidRPr="00594865">
        <w:rPr>
          <w:rFonts w:ascii="微軟正黑體" w:eastAsia="微軟正黑體" w:hAnsi="微軟正黑體" w:hint="eastAsia"/>
          <w:color w:val="808080" w:themeColor="background1" w:themeShade="80"/>
          <w:sz w:val="20"/>
          <w:szCs w:val="18"/>
        </w:rPr>
        <w:t>乳牛雕塑</w:t>
      </w:r>
      <w:r w:rsidRPr="00594865">
        <w:rPr>
          <w:rFonts w:ascii="微軟正黑體" w:eastAsia="微軟正黑體" w:hAnsi="微軟正黑體"/>
          <w:color w:val="808080" w:themeColor="background1" w:themeShade="80"/>
          <w:sz w:val="20"/>
          <w:szCs w:val="18"/>
        </w:rPr>
        <w:t>與小貨櫃</w:t>
      </w:r>
    </w:p>
    <w:p w14:paraId="2A0C14F1" w14:textId="50B087AB" w:rsidR="00594865" w:rsidRDefault="00594865" w:rsidP="00594865">
      <w:pPr>
        <w:spacing w:after="100" w:afterAutospacing="1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/>
        </w:rPr>
        <w:br w:type="page"/>
      </w:r>
      <w:r w:rsidR="002D2E6D" w:rsidRPr="00594865">
        <w:rPr>
          <w:rFonts w:ascii="微軟正黑體" w:eastAsia="微軟正黑體" w:hAnsi="微軟正黑體"/>
          <w:noProof/>
          <w:color w:val="808080" w:themeColor="background1" w:themeShade="80"/>
          <w:sz w:val="20"/>
          <w:szCs w:val="18"/>
        </w:rPr>
        <w:lastRenderedPageBreak/>
        <w:drawing>
          <wp:anchor distT="0" distB="0" distL="114300" distR="114300" simplePos="0" relativeHeight="251664384" behindDoc="0" locked="0" layoutInCell="1" allowOverlap="1" wp14:anchorId="24B15C01" wp14:editId="2F85C05D">
            <wp:simplePos x="0" y="0"/>
            <wp:positionH relativeFrom="column">
              <wp:posOffset>-205740</wp:posOffset>
            </wp:positionH>
            <wp:positionV relativeFrom="paragraph">
              <wp:posOffset>0</wp:posOffset>
            </wp:positionV>
            <wp:extent cx="2788920" cy="1569720"/>
            <wp:effectExtent l="0" t="0" r="0" b="0"/>
            <wp:wrapTopAndBottom/>
            <wp:docPr id="86029065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920" cy="156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94865">
        <w:rPr>
          <w:rFonts w:ascii="微軟正黑體" w:eastAsia="微軟正黑體" w:hAnsi="微軟正黑體"/>
          <w:noProof/>
          <w:color w:val="808080" w:themeColor="background1" w:themeShade="80"/>
          <w:sz w:val="20"/>
          <w:szCs w:val="18"/>
        </w:rPr>
        <w:drawing>
          <wp:anchor distT="0" distB="0" distL="114300" distR="114300" simplePos="0" relativeHeight="251665408" behindDoc="0" locked="0" layoutInCell="1" allowOverlap="1" wp14:anchorId="7BB4BB9A" wp14:editId="35C27EE0">
            <wp:simplePos x="0" y="0"/>
            <wp:positionH relativeFrom="column">
              <wp:posOffset>2590800</wp:posOffset>
            </wp:positionH>
            <wp:positionV relativeFrom="paragraph">
              <wp:posOffset>0</wp:posOffset>
            </wp:positionV>
            <wp:extent cx="2773680" cy="1562100"/>
            <wp:effectExtent l="0" t="0" r="7620" b="0"/>
            <wp:wrapTopAndBottom/>
            <wp:docPr id="1428828304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68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94865">
        <w:rPr>
          <w:rFonts w:ascii="微軟正黑體" w:eastAsia="微軟正黑體" w:hAnsi="微軟正黑體"/>
          <w:color w:val="808080" w:themeColor="background1" w:themeShade="80"/>
          <w:sz w:val="20"/>
          <w:szCs w:val="18"/>
        </w:rPr>
        <w:t>（圖七）一樓展場照、（圖八）《筑波記憶I》與《筑波記憶II》</w:t>
      </w:r>
    </w:p>
    <w:p w14:paraId="465285FF" w14:textId="764B4DBD" w:rsidR="00594865" w:rsidRDefault="00594865" w:rsidP="00594865">
      <w:pPr>
        <w:widowControl/>
        <w:spacing w:line="500" w:lineRule="exact"/>
        <w:rPr>
          <w:rFonts w:ascii="微軟正黑體" w:eastAsia="微軟正黑體" w:hAnsi="微軟正黑體"/>
        </w:rPr>
      </w:pPr>
      <w:r>
        <w:rPr>
          <w:noProof/>
          <w:bdr w:val="none" w:sz="0" w:space="0" w:color="auto" w:frame="1"/>
        </w:rPr>
        <w:drawing>
          <wp:anchor distT="0" distB="0" distL="114300" distR="114300" simplePos="0" relativeHeight="251666432" behindDoc="0" locked="0" layoutInCell="1" allowOverlap="1" wp14:anchorId="6FD21C4F" wp14:editId="57E7735B">
            <wp:simplePos x="0" y="0"/>
            <wp:positionH relativeFrom="column">
              <wp:posOffset>2651760</wp:posOffset>
            </wp:positionH>
            <wp:positionV relativeFrom="paragraph">
              <wp:posOffset>1734820</wp:posOffset>
            </wp:positionV>
            <wp:extent cx="2781300" cy="1569720"/>
            <wp:effectExtent l="0" t="0" r="0" b="0"/>
            <wp:wrapTopAndBottom/>
            <wp:docPr id="1593870799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56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bdr w:val="none" w:sz="0" w:space="0" w:color="auto" w:frame="1"/>
        </w:rPr>
        <w:drawing>
          <wp:anchor distT="0" distB="0" distL="114300" distR="114300" simplePos="0" relativeHeight="251667456" behindDoc="0" locked="0" layoutInCell="1" allowOverlap="1" wp14:anchorId="299F2E68" wp14:editId="4FE9D043">
            <wp:simplePos x="0" y="0"/>
            <wp:positionH relativeFrom="column">
              <wp:posOffset>-205740</wp:posOffset>
            </wp:positionH>
            <wp:positionV relativeFrom="paragraph">
              <wp:posOffset>1734820</wp:posOffset>
            </wp:positionV>
            <wp:extent cx="2857500" cy="1569720"/>
            <wp:effectExtent l="0" t="0" r="0" b="0"/>
            <wp:wrapTopAndBottom/>
            <wp:docPr id="1971052339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56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94865">
        <w:rPr>
          <w:rFonts w:ascii="微軟正黑體" w:eastAsia="微軟正黑體" w:hAnsi="微軟正黑體"/>
        </w:rPr>
        <w:t>二樓展出藝術家駐館現地製作的《四重奏》，作品集結了他過去50年的創</w:t>
      </w:r>
      <w:proofErr w:type="gramStart"/>
      <w:r w:rsidRPr="00594865">
        <w:rPr>
          <w:rFonts w:ascii="微軟正黑體" w:eastAsia="微軟正黑體" w:hAnsi="微軟正黑體"/>
        </w:rPr>
        <w:t>作媒</w:t>
      </w:r>
      <w:proofErr w:type="gramEnd"/>
      <w:r w:rsidRPr="00594865">
        <w:rPr>
          <w:rFonts w:ascii="微軟正黑體" w:eastAsia="微軟正黑體" w:hAnsi="微軟正黑體"/>
        </w:rPr>
        <w:t>材、技法與概念，在壁面上以貼紙轉印、現成物、電視、數位相框各式手法呈現植物與生物，最後藝術家在牆壁上塗抹，這些看似隨性的筆觸銜接起了原本互不相關的符碼，使畫面更趨和諧，面對無聲的作品彷彿可以聽見萬物齊鳴，盧明德說：「這不僅僅是生態的四重奏，</w:t>
      </w:r>
      <w:proofErr w:type="gramStart"/>
      <w:r w:rsidRPr="00594865">
        <w:rPr>
          <w:rFonts w:ascii="微軟正黑體" w:eastAsia="微軟正黑體" w:hAnsi="微軟正黑體"/>
        </w:rPr>
        <w:t>更是媒材</w:t>
      </w:r>
      <w:proofErr w:type="gramEnd"/>
      <w:r w:rsidRPr="00594865">
        <w:rPr>
          <w:rFonts w:ascii="微軟正黑體" w:eastAsia="微軟正黑體" w:hAnsi="微軟正黑體"/>
        </w:rPr>
        <w:t>的大合奏」。</w:t>
      </w:r>
    </w:p>
    <w:p w14:paraId="64370AC3" w14:textId="43730E91" w:rsidR="00594865" w:rsidRPr="00DD1A97" w:rsidRDefault="00DD1A97" w:rsidP="00DD1A97">
      <w:pPr>
        <w:rPr>
          <w:rFonts w:ascii="微軟正黑體" w:eastAsia="微軟正黑體" w:hAnsi="微軟正黑體"/>
          <w:color w:val="808080" w:themeColor="background1" w:themeShade="80"/>
          <w:sz w:val="20"/>
          <w:szCs w:val="18"/>
        </w:rPr>
      </w:pPr>
      <w:r w:rsidRPr="00DD1A97">
        <w:rPr>
          <w:rFonts w:ascii="微軟正黑體" w:eastAsia="微軟正黑體" w:hAnsi="微軟正黑體"/>
          <w:noProof/>
          <w:color w:val="808080" w:themeColor="background1" w:themeShade="80"/>
          <w:sz w:val="20"/>
          <w:szCs w:val="18"/>
        </w:rPr>
        <w:drawing>
          <wp:anchor distT="0" distB="0" distL="114300" distR="114300" simplePos="0" relativeHeight="251668480" behindDoc="0" locked="0" layoutInCell="1" allowOverlap="1" wp14:anchorId="4CEA0FF9" wp14:editId="50606A7B">
            <wp:simplePos x="0" y="0"/>
            <wp:positionH relativeFrom="column">
              <wp:posOffset>2682240</wp:posOffset>
            </wp:positionH>
            <wp:positionV relativeFrom="paragraph">
              <wp:posOffset>2128520</wp:posOffset>
            </wp:positionV>
            <wp:extent cx="2887980" cy="1630680"/>
            <wp:effectExtent l="0" t="0" r="7620" b="7620"/>
            <wp:wrapTopAndBottom/>
            <wp:docPr id="55984959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980" cy="163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D1A97">
        <w:rPr>
          <w:rFonts w:ascii="微軟正黑體" w:eastAsia="微軟正黑體" w:hAnsi="微軟正黑體"/>
          <w:noProof/>
          <w:color w:val="808080" w:themeColor="background1" w:themeShade="80"/>
          <w:sz w:val="20"/>
          <w:szCs w:val="18"/>
        </w:rPr>
        <w:drawing>
          <wp:anchor distT="0" distB="0" distL="114300" distR="114300" simplePos="0" relativeHeight="251669504" behindDoc="0" locked="0" layoutInCell="1" allowOverlap="1" wp14:anchorId="621EAA4D" wp14:editId="1856D6A4">
            <wp:simplePos x="0" y="0"/>
            <wp:positionH relativeFrom="column">
              <wp:posOffset>-205740</wp:posOffset>
            </wp:positionH>
            <wp:positionV relativeFrom="paragraph">
              <wp:posOffset>2128520</wp:posOffset>
            </wp:positionV>
            <wp:extent cx="2887980" cy="1630680"/>
            <wp:effectExtent l="0" t="0" r="7620" b="7620"/>
            <wp:wrapTopAndBottom/>
            <wp:docPr id="2122258835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980" cy="163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94865" w:rsidRPr="00DD1A97">
        <w:rPr>
          <w:rFonts w:ascii="微軟正黑體" w:eastAsia="微軟正黑體" w:hAnsi="微軟正黑體"/>
          <w:color w:val="808080" w:themeColor="background1" w:themeShade="80"/>
          <w:sz w:val="20"/>
          <w:szCs w:val="18"/>
        </w:rPr>
        <w:t>（圖九）現地製作作品《四重奏》、（圖十）藝術家盧明德與《四重奏》於開幕導</w:t>
      </w:r>
      <w:proofErr w:type="gramStart"/>
      <w:r w:rsidR="00594865" w:rsidRPr="00DD1A97">
        <w:rPr>
          <w:rFonts w:ascii="微軟正黑體" w:eastAsia="微軟正黑體" w:hAnsi="微軟正黑體"/>
          <w:color w:val="808080" w:themeColor="background1" w:themeShade="80"/>
          <w:sz w:val="20"/>
          <w:szCs w:val="18"/>
        </w:rPr>
        <w:t>覽</w:t>
      </w:r>
      <w:proofErr w:type="gramEnd"/>
    </w:p>
    <w:p w14:paraId="762B966B" w14:textId="19E3213B" w:rsidR="00594865" w:rsidRPr="00DD1A97" w:rsidRDefault="00DD1A97" w:rsidP="00DD1A97">
      <w:pPr>
        <w:rPr>
          <w:rFonts w:ascii="微軟正黑體" w:eastAsia="微軟正黑體" w:hAnsi="微軟正黑體"/>
          <w:color w:val="808080" w:themeColor="background1" w:themeShade="80"/>
          <w:sz w:val="20"/>
          <w:szCs w:val="18"/>
        </w:rPr>
      </w:pPr>
      <w:r w:rsidRPr="00DD1A97">
        <w:rPr>
          <w:rFonts w:ascii="微軟正黑體" w:eastAsia="微軟正黑體" w:hAnsi="微軟正黑體"/>
          <w:color w:val="808080" w:themeColor="background1" w:themeShade="80"/>
          <w:sz w:val="20"/>
          <w:szCs w:val="18"/>
        </w:rPr>
        <w:t>（圖十一）二樓展場、（圖十二）觀眾欣賞作品《擬態與再造》</w:t>
      </w:r>
    </w:p>
    <w:p w14:paraId="1FE97B6D" w14:textId="638D58FF" w:rsidR="00DD1A97" w:rsidRDefault="00DD1A97" w:rsidP="00594865">
      <w:pPr>
        <w:widowControl/>
        <w:spacing w:line="500" w:lineRule="exact"/>
        <w:rPr>
          <w:rFonts w:ascii="微軟正黑體" w:eastAsia="微軟正黑體" w:hAnsi="微軟正黑體"/>
        </w:rPr>
      </w:pPr>
      <w:r w:rsidRPr="00DD1A97">
        <w:rPr>
          <w:rFonts w:ascii="微軟正黑體" w:eastAsia="微軟正黑體" w:hAnsi="微軟正黑體"/>
        </w:rPr>
        <w:t>三樓展出立體作品《看不見的風景I》、複合媒材《詩篇系列》與數件早期的平面繪畫作品，策展人陳明惠表示這個展覽的觀看順序不依創作時間來排列，而是將各時期的作品打散在整座美術館，看藝術家自在地運用複合媒材，將媒體</w:t>
      </w:r>
      <w:r w:rsidRPr="00DD1A97">
        <w:rPr>
          <w:rFonts w:ascii="微軟正黑體" w:eastAsia="微軟正黑體" w:hAnsi="微軟正黑體"/>
        </w:rPr>
        <w:lastRenderedPageBreak/>
        <w:t>轉換、並置、擬態、對話，而展覽最後一件作品展出1974年學生時期純粹性</w:t>
      </w:r>
      <w:r>
        <w:rPr>
          <w:noProof/>
          <w:bdr w:val="none" w:sz="0" w:space="0" w:color="auto" w:frame="1"/>
        </w:rPr>
        <w:drawing>
          <wp:anchor distT="0" distB="0" distL="114300" distR="114300" simplePos="0" relativeHeight="251671552" behindDoc="0" locked="0" layoutInCell="1" allowOverlap="1" wp14:anchorId="66CBDA79" wp14:editId="68CD0033">
            <wp:simplePos x="0" y="0"/>
            <wp:positionH relativeFrom="column">
              <wp:posOffset>-289560</wp:posOffset>
            </wp:positionH>
            <wp:positionV relativeFrom="paragraph">
              <wp:posOffset>754380</wp:posOffset>
            </wp:positionV>
            <wp:extent cx="2971800" cy="1676400"/>
            <wp:effectExtent l="0" t="0" r="0" b="0"/>
            <wp:wrapTopAndBottom/>
            <wp:docPr id="1662135659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bdr w:val="none" w:sz="0" w:space="0" w:color="auto" w:frame="1"/>
        </w:rPr>
        <w:drawing>
          <wp:anchor distT="0" distB="0" distL="114300" distR="114300" simplePos="0" relativeHeight="251670528" behindDoc="0" locked="0" layoutInCell="1" allowOverlap="1" wp14:anchorId="2BCC077D" wp14:editId="129B3F03">
            <wp:simplePos x="0" y="0"/>
            <wp:positionH relativeFrom="column">
              <wp:posOffset>2682240</wp:posOffset>
            </wp:positionH>
            <wp:positionV relativeFrom="paragraph">
              <wp:posOffset>754380</wp:posOffset>
            </wp:positionV>
            <wp:extent cx="2979420" cy="1676400"/>
            <wp:effectExtent l="0" t="0" r="0" b="0"/>
            <wp:wrapTopAndBottom/>
            <wp:docPr id="1789518248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942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D1A97">
        <w:rPr>
          <w:rFonts w:ascii="微軟正黑體" w:eastAsia="微軟正黑體" w:hAnsi="微軟正黑體"/>
        </w:rPr>
        <w:t>繪畫的《詠》，強調藝術家不可取代的繪畫性仍貫穿其半世紀的創作經歷。</w:t>
      </w:r>
    </w:p>
    <w:p w14:paraId="4FD97D20" w14:textId="01F03FBF" w:rsidR="00DD1A97" w:rsidRPr="002D2E6D" w:rsidRDefault="00DD1A97" w:rsidP="002D2E6D">
      <w:pPr>
        <w:rPr>
          <w:rFonts w:ascii="微軟正黑體" w:eastAsia="微軟正黑體" w:hAnsi="微軟正黑體"/>
          <w:color w:val="808080" w:themeColor="background1" w:themeShade="80"/>
          <w:sz w:val="20"/>
          <w:szCs w:val="18"/>
        </w:rPr>
      </w:pPr>
      <w:r w:rsidRPr="002D2E6D">
        <w:rPr>
          <w:rFonts w:ascii="微軟正黑體" w:eastAsia="微軟正黑體" w:hAnsi="微軟正黑體"/>
          <w:noProof/>
          <w:color w:val="808080" w:themeColor="background1" w:themeShade="80"/>
          <w:sz w:val="20"/>
          <w:szCs w:val="18"/>
        </w:rPr>
        <w:drawing>
          <wp:anchor distT="0" distB="0" distL="114300" distR="114300" simplePos="0" relativeHeight="251672576" behindDoc="0" locked="0" layoutInCell="1" allowOverlap="1" wp14:anchorId="129A611E" wp14:editId="01C8E238">
            <wp:simplePos x="0" y="0"/>
            <wp:positionH relativeFrom="column">
              <wp:posOffset>2636520</wp:posOffset>
            </wp:positionH>
            <wp:positionV relativeFrom="paragraph">
              <wp:posOffset>2183130</wp:posOffset>
            </wp:positionV>
            <wp:extent cx="2887980" cy="1630680"/>
            <wp:effectExtent l="0" t="0" r="7620" b="7620"/>
            <wp:wrapTopAndBottom/>
            <wp:docPr id="983568970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980" cy="163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D2E6D">
        <w:rPr>
          <w:rFonts w:ascii="微軟正黑體" w:eastAsia="微軟正黑體" w:hAnsi="微軟正黑體"/>
          <w:noProof/>
          <w:color w:val="808080" w:themeColor="background1" w:themeShade="80"/>
          <w:sz w:val="20"/>
          <w:szCs w:val="18"/>
        </w:rPr>
        <w:drawing>
          <wp:anchor distT="0" distB="0" distL="114300" distR="114300" simplePos="0" relativeHeight="251673600" behindDoc="0" locked="0" layoutInCell="1" allowOverlap="1" wp14:anchorId="0824FD16" wp14:editId="78CA3E67">
            <wp:simplePos x="0" y="0"/>
            <wp:positionH relativeFrom="column">
              <wp:posOffset>-251460</wp:posOffset>
            </wp:positionH>
            <wp:positionV relativeFrom="paragraph">
              <wp:posOffset>2184400</wp:posOffset>
            </wp:positionV>
            <wp:extent cx="2887980" cy="1615440"/>
            <wp:effectExtent l="0" t="0" r="7620" b="3810"/>
            <wp:wrapTopAndBottom/>
            <wp:docPr id="314171408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980" cy="161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D2E6D">
        <w:rPr>
          <w:rFonts w:ascii="微軟正黑體" w:eastAsia="微軟正黑體" w:hAnsi="微軟正黑體"/>
          <w:color w:val="808080" w:themeColor="background1" w:themeShade="80"/>
          <w:sz w:val="20"/>
          <w:szCs w:val="18"/>
        </w:rPr>
        <w:t>（圖十三）《詩篇系列之一》與《看不見的風景I》、（圖十四）三樓展場</w:t>
      </w:r>
    </w:p>
    <w:p w14:paraId="183C586F" w14:textId="09FDF3DC" w:rsidR="00DD1A97" w:rsidRPr="002D2E6D" w:rsidRDefault="002D2E6D" w:rsidP="002D2E6D">
      <w:pPr>
        <w:rPr>
          <w:rFonts w:ascii="微軟正黑體" w:eastAsia="微軟正黑體" w:hAnsi="微軟正黑體"/>
          <w:color w:val="808080" w:themeColor="background1" w:themeShade="80"/>
          <w:sz w:val="20"/>
          <w:szCs w:val="18"/>
        </w:rPr>
      </w:pPr>
      <w:r w:rsidRPr="002D2E6D">
        <w:rPr>
          <w:rFonts w:ascii="微軟正黑體" w:eastAsia="微軟正黑體" w:hAnsi="微軟正黑體"/>
          <w:color w:val="808080" w:themeColor="background1" w:themeShade="80"/>
          <w:sz w:val="20"/>
          <w:szCs w:val="18"/>
        </w:rPr>
        <w:t>（圖十五）藝術家盧明德與策展人陳明惠於開幕導</w:t>
      </w:r>
      <w:proofErr w:type="gramStart"/>
      <w:r w:rsidRPr="002D2E6D">
        <w:rPr>
          <w:rFonts w:ascii="微軟正黑體" w:eastAsia="微軟正黑體" w:hAnsi="微軟正黑體"/>
          <w:color w:val="808080" w:themeColor="background1" w:themeShade="80"/>
          <w:sz w:val="20"/>
          <w:szCs w:val="18"/>
        </w:rPr>
        <w:t>覽</w:t>
      </w:r>
      <w:proofErr w:type="gramEnd"/>
      <w:r w:rsidRPr="002D2E6D">
        <w:rPr>
          <w:rFonts w:ascii="微軟正黑體" w:eastAsia="微軟正黑體" w:hAnsi="微軟正黑體"/>
          <w:color w:val="808080" w:themeColor="background1" w:themeShade="80"/>
          <w:sz w:val="20"/>
          <w:szCs w:val="18"/>
        </w:rPr>
        <w:t>、（圖十六）作品《詠》</w:t>
      </w:r>
    </w:p>
    <w:p w14:paraId="0611A55F" w14:textId="667A21FB" w:rsidR="002D2E6D" w:rsidRPr="002D2E6D" w:rsidRDefault="002D2E6D" w:rsidP="002D2E6D">
      <w:pPr>
        <w:widowControl/>
        <w:spacing w:line="500" w:lineRule="exact"/>
        <w:rPr>
          <w:rFonts w:ascii="微軟正黑體" w:eastAsia="微軟正黑體" w:hAnsi="微軟正黑體"/>
        </w:rPr>
      </w:pPr>
      <w:r>
        <w:rPr>
          <w:noProof/>
          <w:bdr w:val="none" w:sz="0" w:space="0" w:color="auto" w:frame="1"/>
        </w:rPr>
        <w:drawing>
          <wp:anchor distT="0" distB="0" distL="114300" distR="114300" simplePos="0" relativeHeight="251674624" behindDoc="0" locked="0" layoutInCell="1" allowOverlap="1" wp14:anchorId="22DEB9A5" wp14:editId="13B77671">
            <wp:simplePos x="0" y="0"/>
            <wp:positionH relativeFrom="column">
              <wp:posOffset>2827020</wp:posOffset>
            </wp:positionH>
            <wp:positionV relativeFrom="paragraph">
              <wp:posOffset>2025015</wp:posOffset>
            </wp:positionV>
            <wp:extent cx="2987040" cy="1684020"/>
            <wp:effectExtent l="0" t="0" r="3810" b="0"/>
            <wp:wrapTopAndBottom/>
            <wp:docPr id="1484606755" name="圖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040" cy="168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bdr w:val="none" w:sz="0" w:space="0" w:color="auto" w:frame="1"/>
        </w:rPr>
        <w:drawing>
          <wp:anchor distT="0" distB="0" distL="114300" distR="114300" simplePos="0" relativeHeight="251675648" behindDoc="0" locked="0" layoutInCell="1" allowOverlap="1" wp14:anchorId="56B5DEE4" wp14:editId="1F5179B9">
            <wp:simplePos x="0" y="0"/>
            <wp:positionH relativeFrom="column">
              <wp:posOffset>-160020</wp:posOffset>
            </wp:positionH>
            <wp:positionV relativeFrom="paragraph">
              <wp:posOffset>2026920</wp:posOffset>
            </wp:positionV>
            <wp:extent cx="2987040" cy="1684020"/>
            <wp:effectExtent l="0" t="0" r="3810" b="0"/>
            <wp:wrapTopAndBottom/>
            <wp:docPr id="138402959" name="圖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040" cy="168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D2E6D">
        <w:rPr>
          <w:rFonts w:ascii="微軟正黑體" w:eastAsia="微軟正黑體" w:hAnsi="微軟正黑體"/>
        </w:rPr>
        <w:t>盧明德說：「永遠會有新的媒體產生，藝術一切都在進行中，藝術家本人如此，作品也是如此，作品上產生的時間痕跡，也成為了作品的一部分」。在</w:t>
      </w:r>
      <w:proofErr w:type="gramStart"/>
      <w:r w:rsidRPr="002D2E6D">
        <w:rPr>
          <w:rFonts w:ascii="微軟正黑體" w:eastAsia="微軟正黑體" w:hAnsi="微軟正黑體"/>
        </w:rPr>
        <w:t>毓</w:t>
      </w:r>
      <w:proofErr w:type="gramEnd"/>
      <w:r w:rsidRPr="002D2E6D">
        <w:rPr>
          <w:rFonts w:ascii="微軟正黑體" w:eastAsia="微軟正黑體" w:hAnsi="微軟正黑體"/>
        </w:rPr>
        <w:t>繡美術館的呈現方式如同在他美濃工作室裡裡外外的動物作品們，藝術家以祥和並詼諧的方式面對沉重的生態議題，我們不妨用輕鬆開放的心態來觀看他所創造的烏托邦，欣賞完展覽，再次經過草皮上那顆《迷走之蛋》，是否會打開更多更有趣的想像呢?</w:t>
      </w:r>
    </w:p>
    <w:p w14:paraId="049E52D1" w14:textId="10445860" w:rsidR="00E819CE" w:rsidRDefault="00E819CE" w:rsidP="00E819CE">
      <w:pPr>
        <w:rPr>
          <w:rFonts w:ascii="微軟正黑體" w:eastAsia="微軟正黑體" w:hAnsi="微軟正黑體"/>
          <w:color w:val="808080" w:themeColor="background1" w:themeShade="80"/>
          <w:sz w:val="20"/>
          <w:szCs w:val="18"/>
        </w:rPr>
      </w:pPr>
      <w:r w:rsidRPr="00E819CE">
        <w:rPr>
          <w:rFonts w:ascii="微軟正黑體" w:eastAsia="微軟正黑體" w:hAnsi="微軟正黑體"/>
          <w:color w:val="808080" w:themeColor="background1" w:themeShade="80"/>
          <w:sz w:val="20"/>
          <w:szCs w:val="18"/>
        </w:rPr>
        <w:t>（圖十</w:t>
      </w:r>
      <w:r>
        <w:rPr>
          <w:rFonts w:ascii="微軟正黑體" w:eastAsia="微軟正黑體" w:hAnsi="微軟正黑體" w:hint="eastAsia"/>
          <w:color w:val="808080" w:themeColor="background1" w:themeShade="80"/>
          <w:sz w:val="20"/>
          <w:szCs w:val="18"/>
        </w:rPr>
        <w:t>六</w:t>
      </w:r>
      <w:r w:rsidRPr="00E819CE">
        <w:rPr>
          <w:rFonts w:ascii="微軟正黑體" w:eastAsia="微軟正黑體" w:hAnsi="微軟正黑體"/>
          <w:color w:val="808080" w:themeColor="background1" w:themeShade="80"/>
          <w:sz w:val="20"/>
          <w:szCs w:val="18"/>
        </w:rPr>
        <w:t>）草皮上的作品《迷走之蛋》</w:t>
      </w:r>
    </w:p>
    <w:p w14:paraId="33320881" w14:textId="13D23655" w:rsidR="00DD1A97" w:rsidRDefault="00E819CE" w:rsidP="00E819CE">
      <w:pPr>
        <w:rPr>
          <w:rFonts w:ascii="微軟正黑體" w:eastAsia="微軟正黑體" w:hAnsi="微軟正黑體"/>
          <w:color w:val="808080" w:themeColor="background1" w:themeShade="80"/>
          <w:sz w:val="20"/>
          <w:szCs w:val="18"/>
        </w:rPr>
      </w:pPr>
      <w:r w:rsidRPr="00E819CE">
        <w:rPr>
          <w:rFonts w:ascii="微軟正黑體" w:eastAsia="微軟正黑體" w:hAnsi="微軟正黑體"/>
          <w:color w:val="808080" w:themeColor="background1" w:themeShade="80"/>
          <w:sz w:val="20"/>
          <w:szCs w:val="18"/>
        </w:rPr>
        <w:t>（圖十</w:t>
      </w:r>
      <w:r>
        <w:rPr>
          <w:rFonts w:ascii="微軟正黑體" w:eastAsia="微軟正黑體" w:hAnsi="微軟正黑體" w:hint="eastAsia"/>
          <w:color w:val="808080" w:themeColor="background1" w:themeShade="80"/>
          <w:sz w:val="20"/>
          <w:szCs w:val="18"/>
        </w:rPr>
        <w:t>七</w:t>
      </w:r>
      <w:r w:rsidRPr="00E819CE">
        <w:rPr>
          <w:rFonts w:ascii="微軟正黑體" w:eastAsia="微軟正黑體" w:hAnsi="微軟正黑體"/>
          <w:color w:val="808080" w:themeColor="background1" w:themeShade="80"/>
          <w:sz w:val="20"/>
          <w:szCs w:val="18"/>
        </w:rPr>
        <w:t>）藝術家盧明德與太太</w:t>
      </w:r>
      <w:proofErr w:type="gramStart"/>
      <w:r w:rsidRPr="00E819CE">
        <w:rPr>
          <w:rFonts w:ascii="微軟正黑體" w:eastAsia="微軟正黑體" w:hAnsi="微軟正黑體"/>
          <w:color w:val="808080" w:themeColor="background1" w:themeShade="80"/>
          <w:sz w:val="20"/>
          <w:szCs w:val="18"/>
        </w:rPr>
        <w:t>郭挹</w:t>
      </w:r>
      <w:proofErr w:type="gramEnd"/>
      <w:r w:rsidRPr="00E819CE">
        <w:rPr>
          <w:rFonts w:ascii="微軟正黑體" w:eastAsia="微軟正黑體" w:hAnsi="微軟正黑體"/>
          <w:color w:val="808080" w:themeColor="background1" w:themeShade="80"/>
          <w:sz w:val="20"/>
          <w:szCs w:val="18"/>
        </w:rPr>
        <w:t>芬觀看</w:t>
      </w:r>
      <w:r>
        <w:rPr>
          <w:rFonts w:ascii="微軟正黑體" w:eastAsia="微軟正黑體" w:hAnsi="微軟正黑體" w:hint="eastAsia"/>
          <w:color w:val="808080" w:themeColor="background1" w:themeShade="80"/>
          <w:sz w:val="20"/>
          <w:szCs w:val="18"/>
        </w:rPr>
        <w:t>水池旁的</w:t>
      </w:r>
      <w:r w:rsidRPr="00E819CE">
        <w:rPr>
          <w:rFonts w:ascii="微軟正黑體" w:eastAsia="微軟正黑體" w:hAnsi="微軟正黑體"/>
          <w:color w:val="808080" w:themeColor="background1" w:themeShade="80"/>
          <w:sz w:val="20"/>
          <w:szCs w:val="18"/>
        </w:rPr>
        <w:t>《文化擬態動物》</w:t>
      </w:r>
    </w:p>
    <w:p w14:paraId="4DC70395" w14:textId="77777777" w:rsidR="00E819CE" w:rsidRPr="00E819CE" w:rsidRDefault="00E819CE" w:rsidP="00E819CE">
      <w:pPr>
        <w:spacing w:line="500" w:lineRule="exact"/>
        <w:rPr>
          <w:rFonts w:ascii="微軟正黑體" w:eastAsia="微軟正黑體" w:hAnsi="微軟正黑體"/>
        </w:rPr>
      </w:pPr>
      <w:r w:rsidRPr="00E819CE">
        <w:rPr>
          <w:rFonts w:ascii="微軟正黑體" w:eastAsia="微軟正黑體" w:hAnsi="微軟正黑體"/>
        </w:rPr>
        <w:lastRenderedPageBreak/>
        <w:t>【展覽資訊】</w:t>
      </w:r>
    </w:p>
    <w:p w14:paraId="66E14125" w14:textId="77777777" w:rsidR="00E819CE" w:rsidRPr="00E819CE" w:rsidRDefault="00E819CE" w:rsidP="00E819CE">
      <w:pPr>
        <w:spacing w:line="500" w:lineRule="exact"/>
        <w:rPr>
          <w:rFonts w:ascii="微軟正黑體" w:eastAsia="微軟正黑體" w:hAnsi="微軟正黑體"/>
        </w:rPr>
      </w:pPr>
      <w:r w:rsidRPr="00E819CE">
        <w:rPr>
          <w:rFonts w:ascii="微軟正黑體" w:eastAsia="微軟正黑體" w:hAnsi="微軟正黑體"/>
        </w:rPr>
        <w:t>當符號成為一種擬態：盧明德與其生態樂園</w:t>
      </w:r>
    </w:p>
    <w:p w14:paraId="6A8D165C" w14:textId="77777777" w:rsidR="00E819CE" w:rsidRPr="00E819CE" w:rsidRDefault="00E819CE" w:rsidP="00E819CE">
      <w:pPr>
        <w:spacing w:line="500" w:lineRule="exact"/>
        <w:rPr>
          <w:rFonts w:ascii="微軟正黑體" w:eastAsia="微軟正黑體" w:hAnsi="微軟正黑體"/>
        </w:rPr>
      </w:pPr>
      <w:r w:rsidRPr="00E819CE">
        <w:rPr>
          <w:rFonts w:ascii="微軟正黑體" w:eastAsia="微軟正黑體" w:hAnsi="微軟正黑體"/>
        </w:rPr>
        <w:t>展期：2024/08/03-2025/01/05</w:t>
      </w:r>
    </w:p>
    <w:p w14:paraId="419FB32B" w14:textId="77777777" w:rsidR="00E819CE" w:rsidRPr="00E819CE" w:rsidRDefault="00E819CE" w:rsidP="00E819CE">
      <w:pPr>
        <w:spacing w:line="500" w:lineRule="exact"/>
        <w:rPr>
          <w:rFonts w:ascii="微軟正黑體" w:eastAsia="微軟正黑體" w:hAnsi="微軟正黑體"/>
        </w:rPr>
      </w:pPr>
      <w:r w:rsidRPr="00E819CE">
        <w:rPr>
          <w:rFonts w:ascii="微軟正黑體" w:eastAsia="微軟正黑體" w:hAnsi="微軟正黑體"/>
        </w:rPr>
        <w:t>地點：</w:t>
      </w:r>
      <w:proofErr w:type="gramStart"/>
      <w:r w:rsidRPr="00E819CE">
        <w:rPr>
          <w:rFonts w:ascii="微軟正黑體" w:eastAsia="微軟正黑體" w:hAnsi="微軟正黑體"/>
        </w:rPr>
        <w:t>毓</w:t>
      </w:r>
      <w:proofErr w:type="gramEnd"/>
      <w:r w:rsidRPr="00E819CE">
        <w:rPr>
          <w:rFonts w:ascii="微軟正黑體" w:eastAsia="微軟正黑體" w:hAnsi="微軟正黑體"/>
        </w:rPr>
        <w:t>繡美術館</w:t>
      </w:r>
    </w:p>
    <w:p w14:paraId="26A95A1B" w14:textId="77777777" w:rsidR="00E819CE" w:rsidRPr="00E819CE" w:rsidRDefault="00E819CE" w:rsidP="00E819CE">
      <w:pPr>
        <w:spacing w:line="500" w:lineRule="exact"/>
        <w:rPr>
          <w:rFonts w:ascii="微軟正黑體" w:eastAsia="微軟正黑體" w:hAnsi="微軟正黑體"/>
        </w:rPr>
      </w:pPr>
    </w:p>
    <w:p w14:paraId="49F27D59" w14:textId="77777777" w:rsidR="00E819CE" w:rsidRPr="00E819CE" w:rsidRDefault="00E819CE" w:rsidP="00E819CE">
      <w:pPr>
        <w:spacing w:line="500" w:lineRule="exact"/>
        <w:rPr>
          <w:rFonts w:ascii="微軟正黑體" w:eastAsia="微軟正黑體" w:hAnsi="微軟正黑體"/>
        </w:rPr>
      </w:pPr>
      <w:r w:rsidRPr="00E819CE">
        <w:rPr>
          <w:rFonts w:ascii="微軟正黑體" w:eastAsia="微軟正黑體" w:hAnsi="微軟正黑體"/>
        </w:rPr>
        <w:t>【參觀資訊】</w:t>
      </w:r>
    </w:p>
    <w:p w14:paraId="76BF9A5E" w14:textId="77777777" w:rsidR="00E819CE" w:rsidRPr="00E819CE" w:rsidRDefault="00E819CE" w:rsidP="00E819CE">
      <w:pPr>
        <w:spacing w:line="500" w:lineRule="exact"/>
        <w:rPr>
          <w:rFonts w:ascii="微軟正黑體" w:eastAsia="微軟正黑體" w:hAnsi="微軟正黑體"/>
        </w:rPr>
      </w:pPr>
      <w:r w:rsidRPr="00E819CE">
        <w:rPr>
          <w:rFonts w:ascii="微軟正黑體" w:eastAsia="微軟正黑體" w:hAnsi="微軟正黑體"/>
        </w:rPr>
        <w:t>國定假日及週一休館</w:t>
      </w:r>
    </w:p>
    <w:p w14:paraId="2F91FC97" w14:textId="77777777" w:rsidR="00E819CE" w:rsidRPr="00E819CE" w:rsidRDefault="00E819CE" w:rsidP="00E819CE">
      <w:pPr>
        <w:spacing w:line="500" w:lineRule="exact"/>
        <w:rPr>
          <w:rFonts w:ascii="微軟正黑體" w:eastAsia="微軟正黑體" w:hAnsi="微軟正黑體"/>
        </w:rPr>
      </w:pPr>
      <w:r w:rsidRPr="00E819CE">
        <w:rPr>
          <w:rFonts w:ascii="微軟正黑體" w:eastAsia="微軟正黑體" w:hAnsi="微軟正黑體"/>
        </w:rPr>
        <w:t>開放時間：二~日 10 : 00～17 : 00、週四10 : 00～15 : 00</w:t>
      </w:r>
    </w:p>
    <w:p w14:paraId="0E93EAD3" w14:textId="77777777" w:rsidR="00E819CE" w:rsidRPr="00E819CE" w:rsidRDefault="00E819CE" w:rsidP="00E819CE">
      <w:pPr>
        <w:spacing w:line="500" w:lineRule="exact"/>
        <w:rPr>
          <w:rFonts w:ascii="微軟正黑體" w:eastAsia="微軟正黑體" w:hAnsi="微軟正黑體"/>
        </w:rPr>
      </w:pPr>
      <w:r w:rsidRPr="00E819CE">
        <w:rPr>
          <w:rFonts w:ascii="微軟正黑體" w:eastAsia="微軟正黑體" w:hAnsi="微軟正黑體"/>
        </w:rPr>
        <w:t>歡迎至</w:t>
      </w:r>
      <w:proofErr w:type="gramStart"/>
      <w:r w:rsidRPr="00E819CE">
        <w:rPr>
          <w:rFonts w:ascii="微軟正黑體" w:eastAsia="微軟正黑體" w:hAnsi="微軟正黑體"/>
        </w:rPr>
        <w:t>毓</w:t>
      </w:r>
      <w:proofErr w:type="gramEnd"/>
      <w:r w:rsidRPr="00E819CE">
        <w:rPr>
          <w:rFonts w:ascii="微軟正黑體" w:eastAsia="微軟正黑體" w:hAnsi="微軟正黑體"/>
        </w:rPr>
        <w:t>繡美術館官方網站預約參觀:</w:t>
      </w:r>
      <w:hyperlink r:id="rId25" w:history="1">
        <w:r w:rsidRPr="00E819CE">
          <w:t>https://yu-hsiu.org/</w:t>
        </w:r>
      </w:hyperlink>
    </w:p>
    <w:p w14:paraId="5BA45C72" w14:textId="77777777" w:rsidR="00E819CE" w:rsidRPr="00E819CE" w:rsidRDefault="00E819CE" w:rsidP="00E819CE">
      <w:pPr>
        <w:spacing w:line="500" w:lineRule="exact"/>
        <w:rPr>
          <w:rFonts w:ascii="微軟正黑體" w:eastAsia="微軟正黑體" w:hAnsi="微軟正黑體"/>
        </w:rPr>
      </w:pPr>
    </w:p>
    <w:p w14:paraId="4B7B594E" w14:textId="77777777" w:rsidR="00E819CE" w:rsidRPr="00E819CE" w:rsidRDefault="00E819CE" w:rsidP="00E819CE">
      <w:pPr>
        <w:spacing w:line="500" w:lineRule="exact"/>
        <w:rPr>
          <w:rFonts w:ascii="微軟正黑體" w:eastAsia="微軟正黑體" w:hAnsi="微軟正黑體"/>
        </w:rPr>
      </w:pPr>
      <w:proofErr w:type="gramStart"/>
      <w:r w:rsidRPr="00E819CE">
        <w:rPr>
          <w:rFonts w:ascii="微軟正黑體" w:eastAsia="微軟正黑體" w:hAnsi="微軟正黑體"/>
        </w:rPr>
        <w:t>毓</w:t>
      </w:r>
      <w:proofErr w:type="gramEnd"/>
      <w:r w:rsidRPr="00E819CE">
        <w:rPr>
          <w:rFonts w:ascii="微軟正黑體" w:eastAsia="微軟正黑體" w:hAnsi="微軟正黑體"/>
        </w:rPr>
        <w:t xml:space="preserve">繡美術館 行銷推廣組 </w:t>
      </w:r>
      <w:proofErr w:type="gramStart"/>
      <w:r w:rsidRPr="00E819CE">
        <w:rPr>
          <w:rFonts w:ascii="微軟正黑體" w:eastAsia="微軟正黑體" w:hAnsi="微軟正黑體"/>
        </w:rPr>
        <w:t>方譯梅</w:t>
      </w:r>
      <w:proofErr w:type="gramEnd"/>
    </w:p>
    <w:p w14:paraId="561DE1A6" w14:textId="77777777" w:rsidR="00E819CE" w:rsidRPr="00E819CE" w:rsidRDefault="00E819CE" w:rsidP="00E819CE">
      <w:pPr>
        <w:spacing w:line="500" w:lineRule="exact"/>
        <w:rPr>
          <w:rFonts w:ascii="微軟正黑體" w:eastAsia="微軟正黑體" w:hAnsi="微軟正黑體"/>
        </w:rPr>
      </w:pPr>
      <w:r w:rsidRPr="00E819CE">
        <w:rPr>
          <w:rFonts w:ascii="微軟正黑體" w:eastAsia="微軟正黑體" w:hAnsi="微軟正黑體"/>
        </w:rPr>
        <w:t>049-2572999 分機205</w:t>
      </w:r>
      <w:proofErr w:type="gramStart"/>
      <w:r w:rsidRPr="00E819CE">
        <w:rPr>
          <w:rFonts w:ascii="微軟正黑體" w:eastAsia="微軟正黑體" w:hAnsi="微軟正黑體"/>
        </w:rPr>
        <w:t>｜</w:t>
      </w:r>
      <w:proofErr w:type="gramEnd"/>
      <w:r w:rsidRPr="00E819CE">
        <w:rPr>
          <w:rFonts w:ascii="微軟正黑體" w:eastAsia="微軟正黑體" w:hAnsi="微軟正黑體"/>
        </w:rPr>
        <w:t xml:space="preserve"> m.yuhsiu@gmail.com</w:t>
      </w:r>
    </w:p>
    <w:p w14:paraId="49270519" w14:textId="77777777" w:rsidR="00E819CE" w:rsidRPr="00E819CE" w:rsidRDefault="00E819CE" w:rsidP="00E819CE">
      <w:pPr>
        <w:rPr>
          <w:rFonts w:ascii="微軟正黑體" w:eastAsia="微軟正黑體" w:hAnsi="微軟正黑體" w:hint="eastAsia"/>
          <w:color w:val="808080" w:themeColor="background1" w:themeShade="80"/>
          <w:sz w:val="20"/>
          <w:szCs w:val="18"/>
        </w:rPr>
      </w:pPr>
    </w:p>
    <w:sectPr w:rsidR="00E819CE" w:rsidRPr="00E819CE" w:rsidSect="002D2E6D">
      <w:headerReference w:type="even" r:id="rId26"/>
      <w:headerReference w:type="default" r:id="rId27"/>
      <w:footerReference w:type="even" r:id="rId28"/>
      <w:footerReference w:type="default" r:id="rId29"/>
      <w:headerReference w:type="first" r:id="rId30"/>
      <w:footerReference w:type="first" r:id="rId31"/>
      <w:pgSz w:w="11906" w:h="16838"/>
      <w:pgMar w:top="851" w:right="1800" w:bottom="851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B8C8FD7" w14:textId="77777777" w:rsidR="00873627" w:rsidRDefault="00873627" w:rsidP="00751DAF">
      <w:r>
        <w:separator/>
      </w:r>
    </w:p>
  </w:endnote>
  <w:endnote w:type="continuationSeparator" w:id="0">
    <w:p w14:paraId="64D174E4" w14:textId="77777777" w:rsidR="00873627" w:rsidRDefault="00873627" w:rsidP="00751D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FB5EC82" w14:textId="77777777" w:rsidR="00751DAF" w:rsidRDefault="00751DAF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19303697"/>
      <w:docPartObj>
        <w:docPartGallery w:val="Page Numbers (Bottom of Page)"/>
        <w:docPartUnique/>
      </w:docPartObj>
    </w:sdtPr>
    <w:sdtContent>
      <w:p w14:paraId="08A26A7C" w14:textId="61C133A8" w:rsidR="00751DAF" w:rsidRDefault="00751DAF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TW"/>
          </w:rPr>
          <w:t>2</w:t>
        </w:r>
        <w:r>
          <w:fldChar w:fldCharType="end"/>
        </w:r>
      </w:p>
    </w:sdtContent>
  </w:sdt>
  <w:p w14:paraId="4BC207E6" w14:textId="77777777" w:rsidR="00751DAF" w:rsidRDefault="00751DAF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5D2D22" w14:textId="77777777" w:rsidR="00751DAF" w:rsidRDefault="00751DAF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2FB981A" w14:textId="77777777" w:rsidR="00873627" w:rsidRDefault="00873627" w:rsidP="00751DAF">
      <w:r>
        <w:separator/>
      </w:r>
    </w:p>
  </w:footnote>
  <w:footnote w:type="continuationSeparator" w:id="0">
    <w:p w14:paraId="074A2B3C" w14:textId="77777777" w:rsidR="00873627" w:rsidRDefault="00873627" w:rsidP="00751DA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97B0034" w14:textId="592F417D" w:rsidR="00751DAF" w:rsidRDefault="00000000">
    <w:pPr>
      <w:pStyle w:val="a3"/>
    </w:pPr>
    <w:r>
      <w:rPr>
        <w:noProof/>
      </w:rPr>
      <w:pict w14:anchorId="04F0352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657782" o:spid="_x0000_s1026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新聞稿浮水印-01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46AD666" w14:textId="0E34ADE2" w:rsidR="00751DAF" w:rsidRDefault="00000000">
    <w:pPr>
      <w:pStyle w:val="a3"/>
    </w:pPr>
    <w:r>
      <w:rPr>
        <w:noProof/>
      </w:rPr>
      <w:pict w14:anchorId="15FF62D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657783" o:spid="_x0000_s1027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新聞稿浮水印-01-0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11A6C9" w14:textId="6F995CDF" w:rsidR="00751DAF" w:rsidRDefault="00000000">
    <w:pPr>
      <w:pStyle w:val="a3"/>
    </w:pPr>
    <w:r>
      <w:rPr>
        <w:noProof/>
      </w:rPr>
      <w:pict w14:anchorId="698CCA0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657781" o:spid="_x0000_s1025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新聞稿浮水印-01-0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defaultTabStop w:val="48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1DAF"/>
    <w:rsid w:val="000E3B12"/>
    <w:rsid w:val="001467CD"/>
    <w:rsid w:val="001A05E4"/>
    <w:rsid w:val="002D2E6D"/>
    <w:rsid w:val="00357C7A"/>
    <w:rsid w:val="00594865"/>
    <w:rsid w:val="00751DAF"/>
    <w:rsid w:val="00776A85"/>
    <w:rsid w:val="007F60E0"/>
    <w:rsid w:val="00873627"/>
    <w:rsid w:val="009D2E47"/>
    <w:rsid w:val="00A01DDB"/>
    <w:rsid w:val="00A05270"/>
    <w:rsid w:val="00D94437"/>
    <w:rsid w:val="00DD1A97"/>
    <w:rsid w:val="00E819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A0D6CAF"/>
  <w15:chartTrackingRefBased/>
  <w15:docId w15:val="{166889ED-48A5-4DC8-B461-447A9E5325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51DA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751DAF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751DA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751DAF"/>
    <w:rPr>
      <w:sz w:val="20"/>
      <w:szCs w:val="20"/>
    </w:rPr>
  </w:style>
  <w:style w:type="character" w:styleId="a7">
    <w:name w:val="Hyperlink"/>
    <w:basedOn w:val="a0"/>
    <w:uiPriority w:val="99"/>
    <w:unhideWhenUsed/>
    <w:rsid w:val="00E819CE"/>
    <w:rPr>
      <w:color w:val="0563C1" w:themeColor="hyperlink"/>
      <w:u w:val="single"/>
    </w:rPr>
  </w:style>
  <w:style w:type="character" w:styleId="a8">
    <w:name w:val="Unresolved Mention"/>
    <w:basedOn w:val="a0"/>
    <w:uiPriority w:val="99"/>
    <w:semiHidden/>
    <w:unhideWhenUsed/>
    <w:rsid w:val="00E819C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117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7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03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40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05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96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49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00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0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15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27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8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74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89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header" Target="header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hyperlink" Target="https://yu-hsiu.org/" TargetMode="External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oter" Target="foot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footer" Target="footer3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header" Target="header2.xml"/><Relationship Id="rId30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0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5</Pages>
  <Words>280</Words>
  <Characters>1597</Characters>
  <Application>Microsoft Office Word</Application>
  <DocSecurity>0</DocSecurity>
  <Lines>13</Lines>
  <Paragraphs>3</Paragraphs>
  <ScaleCrop>false</ScaleCrop>
  <Company/>
  <LinksUpToDate>false</LinksUpToDate>
  <CharactersWithSpaces>1874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瓊儀 謝</dc:creator>
  <cp:keywords/>
  <dc:description/>
  <cp:lastModifiedBy>瓊儀 謝</cp:lastModifiedBy>
  <cp:revision>4</cp:revision>
  <dcterms:created xsi:type="dcterms:W3CDTF">2024-08-22T08:37:00Z</dcterms:created>
  <dcterms:modified xsi:type="dcterms:W3CDTF">2024-08-23T02:26:00Z</dcterms:modified>
</cp:coreProperties>
</file>